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9D" w:rsidRPr="00914A7A" w:rsidRDefault="008662AB" w:rsidP="00914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bookmarkStart w:id="0" w:name="_GoBack"/>
      <w:r w:rsidRPr="00914A7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-104776</wp:posOffset>
            </wp:positionH>
            <wp:positionV relativeFrom="page">
              <wp:posOffset>714375</wp:posOffset>
            </wp:positionV>
            <wp:extent cx="6162675" cy="13906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67" cy="139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0B6E" w:rsidRPr="00914A7A" w:rsidRDefault="008B0B6E" w:rsidP="00914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8B0B6E" w:rsidRPr="00914A7A" w:rsidRDefault="008B0B6E" w:rsidP="00914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 w:eastAsia="en-US"/>
        </w:rPr>
      </w:pPr>
    </w:p>
    <w:p w:rsidR="008B0B6E" w:rsidRPr="00914A7A" w:rsidRDefault="008B0B6E" w:rsidP="00914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 w:eastAsia="en-US"/>
        </w:rPr>
      </w:pPr>
    </w:p>
    <w:p w:rsidR="008B0B6E" w:rsidRPr="00914A7A" w:rsidRDefault="008B0B6E" w:rsidP="00914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 w:eastAsia="en-US"/>
        </w:rPr>
      </w:pPr>
    </w:p>
    <w:p w:rsidR="004876C0" w:rsidRPr="00914A7A" w:rsidRDefault="004876C0" w:rsidP="00914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 w:eastAsia="en-US"/>
        </w:rPr>
      </w:pPr>
    </w:p>
    <w:tbl>
      <w:tblPr>
        <w:tblW w:w="0" w:type="auto"/>
        <w:tblLook w:val="04A0"/>
      </w:tblPr>
      <w:tblGrid>
        <w:gridCol w:w="4527"/>
        <w:gridCol w:w="4527"/>
      </w:tblGrid>
      <w:tr w:rsidR="009C0496" w:rsidRPr="00914A7A" w:rsidTr="00C546AE">
        <w:tc>
          <w:tcPr>
            <w:tcW w:w="4527" w:type="dxa"/>
            <w:shd w:val="clear" w:color="auto" w:fill="auto"/>
          </w:tcPr>
          <w:p w:rsidR="009C0496" w:rsidRPr="00914A7A" w:rsidRDefault="009C0496" w:rsidP="00C54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9C0496" w:rsidRPr="00914A7A" w:rsidRDefault="009C0496" w:rsidP="00C54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9C0496" w:rsidRDefault="009C0496" w:rsidP="00C546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9C0496" w:rsidRDefault="009C0496" w:rsidP="00C546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</w:t>
            </w:r>
          </w:p>
          <w:p w:rsidR="009C0496" w:rsidRPr="00914A7A" w:rsidRDefault="009C0496" w:rsidP="00C546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  <w:r w:rsidRPr="00914A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PROKURORIA E PËRGJITHSHME </w:t>
            </w:r>
          </w:p>
        </w:tc>
        <w:tc>
          <w:tcPr>
            <w:tcW w:w="4527" w:type="dxa"/>
            <w:shd w:val="clear" w:color="auto" w:fill="auto"/>
          </w:tcPr>
          <w:p w:rsidR="009C0496" w:rsidRPr="00914A7A" w:rsidRDefault="009C0496" w:rsidP="00C54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9C0496" w:rsidRPr="00914A7A" w:rsidRDefault="009C0496" w:rsidP="00C54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9C0496" w:rsidRDefault="009C0496" w:rsidP="00C546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14A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</w:t>
            </w:r>
          </w:p>
          <w:p w:rsidR="009C0496" w:rsidRDefault="009C0496" w:rsidP="00C546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</w:t>
            </w:r>
          </w:p>
          <w:p w:rsidR="009C0496" w:rsidRPr="00914A7A" w:rsidRDefault="009C0496" w:rsidP="00C546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</w:t>
            </w:r>
            <w:r w:rsidRPr="00914A7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MINISTRIA E BRENDSHME</w:t>
            </w:r>
          </w:p>
        </w:tc>
      </w:tr>
      <w:tr w:rsidR="009C0496" w:rsidRPr="00914A7A" w:rsidTr="00C546AE">
        <w:tc>
          <w:tcPr>
            <w:tcW w:w="4527" w:type="dxa"/>
            <w:shd w:val="clear" w:color="auto" w:fill="auto"/>
          </w:tcPr>
          <w:p w:rsidR="009C0496" w:rsidRPr="00914A7A" w:rsidRDefault="009C0496" w:rsidP="00C54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4527" w:type="dxa"/>
            <w:shd w:val="clear" w:color="auto" w:fill="auto"/>
          </w:tcPr>
          <w:p w:rsidR="009C0496" w:rsidRPr="00914A7A" w:rsidRDefault="009C0496" w:rsidP="00C546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C0496" w:rsidRPr="00914A7A" w:rsidTr="00C546AE">
        <w:tc>
          <w:tcPr>
            <w:tcW w:w="4527" w:type="dxa"/>
            <w:shd w:val="clear" w:color="auto" w:fill="auto"/>
          </w:tcPr>
          <w:p w:rsidR="009C0496" w:rsidRPr="00914A7A" w:rsidRDefault="009C0496" w:rsidP="009C0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Nr._____ </w:t>
            </w:r>
            <w:proofErr w:type="spellStart"/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</w:t>
            </w:r>
            <w:proofErr w:type="spellEnd"/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Tiranë, më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</w:t>
            </w:r>
          </w:p>
        </w:tc>
        <w:tc>
          <w:tcPr>
            <w:tcW w:w="4527" w:type="dxa"/>
            <w:shd w:val="clear" w:color="auto" w:fill="auto"/>
          </w:tcPr>
          <w:p w:rsidR="009C0496" w:rsidRPr="00914A7A" w:rsidRDefault="009C0496" w:rsidP="00C546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Nr._____ </w:t>
            </w:r>
            <w:proofErr w:type="spellStart"/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</w:t>
            </w:r>
            <w:proofErr w:type="spellEnd"/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Tiranë, më__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4A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__</w:t>
            </w:r>
          </w:p>
        </w:tc>
      </w:tr>
    </w:tbl>
    <w:p w:rsidR="00F40E35" w:rsidRDefault="00F40E35" w:rsidP="000F7D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C0496" w:rsidRDefault="009C0496" w:rsidP="000F7D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C0496" w:rsidRDefault="009C0496" w:rsidP="000F7D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C0496" w:rsidRPr="00914A7A" w:rsidRDefault="009C0496" w:rsidP="000F7D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E6EF8" w:rsidRPr="00914A7A" w:rsidRDefault="00BA032D" w:rsidP="000F7DF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14A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MARRËVESHJE </w:t>
      </w:r>
      <w:r w:rsidR="00DE6EF8" w:rsidRPr="00914A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BASHKËPUNIMI</w:t>
      </w:r>
    </w:p>
    <w:p w:rsidR="00D1049D" w:rsidRPr="00914A7A" w:rsidRDefault="00D1049D" w:rsidP="000F7DF1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  <w:lang w:val="sq-AL"/>
        </w:rPr>
      </w:pPr>
    </w:p>
    <w:p w:rsidR="00DE6EF8" w:rsidRPr="00914A7A" w:rsidRDefault="001448A1" w:rsidP="000F7DF1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N</w:t>
      </w:r>
      <w:r w:rsidR="00D40290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 xml:space="preserve"> </w:t>
      </w:r>
      <w:r w:rsidR="00D1049D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funksion</w:t>
      </w:r>
      <w:r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 xml:space="preserve"> t</w:t>
      </w:r>
      <w:r w:rsidR="00D40290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 xml:space="preserve"> </w:t>
      </w:r>
      <w:r w:rsidR="0097262C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Planit të Veprimit për Luftën kundër Krimit të Organizuar, miratuar me VKM nr. 637, dat</w:t>
      </w:r>
      <w:r w:rsidR="00D40290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97262C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 xml:space="preserve"> </w:t>
      </w:r>
      <w:r w:rsidR="000F7DF1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0</w:t>
      </w:r>
      <w:r w:rsidR="0097262C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6.</w:t>
      </w:r>
      <w:r w:rsidR="00D1049D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 xml:space="preserve"> </w:t>
      </w:r>
      <w:r w:rsidR="0097262C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11.</w:t>
      </w:r>
      <w:r w:rsidR="00D1049D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 xml:space="preserve"> </w:t>
      </w:r>
      <w:r w:rsidR="0097262C" w:rsidRPr="00914A7A">
        <w:rPr>
          <w:rFonts w:ascii="Times New Roman" w:hAnsi="Times New Roman" w:cs="Times New Roman"/>
          <w:b/>
          <w:smallCaps/>
          <w:sz w:val="24"/>
          <w:szCs w:val="24"/>
          <w:lang w:val="sq-AL"/>
        </w:rPr>
        <w:t>2017</w:t>
      </w:r>
    </w:p>
    <w:p w:rsidR="008735BE" w:rsidRPr="00914A7A" w:rsidRDefault="008735BE" w:rsidP="000F7D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8F06B3" w:rsidRDefault="008F06B3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40E35" w:rsidRPr="00914A7A" w:rsidRDefault="00F40E35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F06B3" w:rsidRPr="00914A7A" w:rsidRDefault="008F06B3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b/>
          <w:i/>
          <w:sz w:val="24"/>
          <w:szCs w:val="24"/>
          <w:lang w:val="sq-AL"/>
        </w:rPr>
        <w:t>Nisur nga fakti q</w:t>
      </w:r>
      <w:r w:rsidR="003351CB" w:rsidRPr="00914A7A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, deri n</w:t>
      </w:r>
      <w:r w:rsidR="00D1049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krijimin e Prokuroris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Pos</w:t>
      </w:r>
      <w:r w:rsidR="00D1049D" w:rsidRPr="00914A7A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çme, sfera e veprave penale objekt i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saj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arrëveshje</w:t>
      </w:r>
      <w:r w:rsidR="00D27031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, jan</w:t>
      </w:r>
      <w:r w:rsidR="00D1049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kompetenc</w:t>
      </w:r>
      <w:r w:rsidR="00D1049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C589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lëndore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CC589D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Prokuroris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D1049D" w:rsidRPr="00914A7A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rime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F40E3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nda ashtu dhe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1050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prokurorive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1050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rretheve gjyq</w:t>
      </w:r>
      <w:r w:rsidR="00ED7467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1050B" w:rsidRPr="00914A7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ore me juridiksion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zakonsh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m; </w:t>
      </w:r>
    </w:p>
    <w:p w:rsidR="00ED7467" w:rsidRPr="00914A7A" w:rsidRDefault="00ED7467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F06B3" w:rsidRPr="00914A7A" w:rsidRDefault="00DE6EF8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Me </w:t>
      </w:r>
      <w:r w:rsidR="00D1049D" w:rsidRPr="00914A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qëllim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forcimin e bashkëpunimit në luftë kundër krimit të organizuar, pjes</w:t>
      </w:r>
      <w:r w:rsidR="00CC589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tarëve të grupeve të strukturuara e organizatave kriminale, </w:t>
      </w:r>
      <w:proofErr w:type="spellStart"/>
      <w:r w:rsidRPr="00914A7A">
        <w:rPr>
          <w:rFonts w:ascii="Times New Roman" w:hAnsi="Times New Roman" w:cs="Times New Roman"/>
          <w:sz w:val="24"/>
          <w:szCs w:val="24"/>
          <w:lang w:val="sq-AL"/>
        </w:rPr>
        <w:t>aseteve</w:t>
      </w:r>
      <w:proofErr w:type="spellEnd"/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dhe të ardhurave të tyre të paligjshme</w:t>
      </w:r>
      <w:r w:rsidR="0011050B" w:rsidRPr="00914A7A">
        <w:rPr>
          <w:rFonts w:ascii="Times New Roman" w:hAnsi="Times New Roman" w:cs="Times New Roman"/>
          <w:sz w:val="24"/>
          <w:szCs w:val="24"/>
          <w:lang w:val="sq-AL"/>
        </w:rPr>
        <w:t>, si dhe</w:t>
      </w:r>
      <w:r w:rsidR="00D1049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1FBD" w:rsidRPr="00914A7A">
        <w:rPr>
          <w:rFonts w:ascii="Times New Roman" w:hAnsi="Times New Roman" w:cs="Times New Roman"/>
          <w:sz w:val="24"/>
          <w:szCs w:val="24"/>
          <w:lang w:val="sq-AL"/>
        </w:rPr>
        <w:t>rritjen e efektivitetit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1FB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hetimet penale </w:t>
      </w:r>
      <w:r w:rsidR="00CC589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vënien përpara drejtësisë të autorëve</w:t>
      </w:r>
      <w:r w:rsidR="00AA174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CC589D" w:rsidRPr="00914A7A" w:rsidRDefault="00CC589D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9281F" w:rsidRPr="00914A7A" w:rsidRDefault="0059281F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b/>
          <w:i/>
          <w:sz w:val="24"/>
          <w:szCs w:val="24"/>
          <w:lang w:val="sq-AL"/>
        </w:rPr>
        <w:t>Në mbështetje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të Kodit të Procedurës Penale</w:t>
      </w:r>
      <w:r w:rsidR="00CC589D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të ndryshuar, l</w:t>
      </w:r>
      <w:r w:rsidRPr="00914A7A">
        <w:rPr>
          <w:rFonts w:ascii="Times New Roman" w:hAnsi="Times New Roman" w:cs="Times New Roman"/>
          <w:bCs/>
          <w:sz w:val="24"/>
          <w:szCs w:val="24"/>
          <w:lang w:val="sq-AL"/>
        </w:rPr>
        <w:t>igjit nr.</w:t>
      </w:r>
      <w:r w:rsidR="00CC589D" w:rsidRPr="00914A7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bCs/>
          <w:sz w:val="24"/>
          <w:szCs w:val="24"/>
          <w:lang w:val="sq-AL"/>
        </w:rPr>
        <w:t>97/</w:t>
      </w:r>
      <w:r w:rsidR="00CC589D" w:rsidRPr="00914A7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bCs/>
          <w:sz w:val="24"/>
          <w:szCs w:val="24"/>
          <w:lang w:val="sq-AL"/>
        </w:rPr>
        <w:t>2016 “</w:t>
      </w:r>
      <w:r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Për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organizimin </w:t>
      </w:r>
      <w:r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dhe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funksionimin </w:t>
      </w:r>
      <w:r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e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prokurorisë </w:t>
      </w:r>
      <w:r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në Republikën e Shqipërisë”,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nenet 14, 20, 21,</w:t>
      </w:r>
      <w:r w:rsidR="00CC589D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38 pika 1, pika 2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shkronjat “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b”, “e”, “ë” dhe “f”, nenit 46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,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pika 3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,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shkronjat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“a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”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dhe “c”, Ligjit Nr. 96/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2017 “P</w:t>
      </w:r>
      <w:r w:rsidR="003351C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ë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r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statusin 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e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gjyqtarëve 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dhe 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prokurorëve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”, neni 160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>,</w:t>
      </w:r>
      <w:r w:rsidR="00550D27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pika 4,</w:t>
      </w:r>
      <w:r w:rsidR="004A769B" w:rsidRPr="00914A7A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VKM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nr.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637, datë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>0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6.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11.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2017, “Për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miratimin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planit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veprimit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luftën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kundër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krimit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>organizuar</w:t>
      </w:r>
      <w:r w:rsidR="00AA771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operacionit </w:t>
      </w:r>
      <w:r w:rsidR="00AA7719" w:rsidRPr="00914A7A">
        <w:rPr>
          <w:rFonts w:ascii="Times New Roman" w:hAnsi="Times New Roman" w:cs="Times New Roman"/>
          <w:sz w:val="24"/>
          <w:szCs w:val="24"/>
          <w:lang w:val="sq-AL"/>
        </w:rPr>
        <w:t>“Forca e Ligjit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”,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rdhrit nr.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204, datë 23.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11.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2017 të Kryeministrit “Për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krijimin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4A769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funksionimin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proofErr w:type="spellStart"/>
      <w:r w:rsidRPr="00914A7A">
        <w:rPr>
          <w:rFonts w:ascii="Times New Roman" w:hAnsi="Times New Roman" w:cs="Times New Roman"/>
          <w:sz w:val="24"/>
          <w:szCs w:val="24"/>
          <w:lang w:val="sq-AL"/>
        </w:rPr>
        <w:t>Task</w:t>
      </w:r>
      <w:proofErr w:type="spellEnd"/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Forcës Qendrore Ndërinstitucionale të ngarkuar me përgjegjësinë e zbatimit të Planit të Veprimit për Luftën kundër Krimit të Organizuar, operacioni “Forca e Ligjit”</w:t>
      </w:r>
      <w:r w:rsidR="00AA174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8735BE" w:rsidRPr="00914A7A" w:rsidRDefault="008735BE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F7DF1" w:rsidRDefault="000F7DF1" w:rsidP="000F7D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735BE" w:rsidRPr="00914A7A" w:rsidRDefault="008735BE" w:rsidP="000F7D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Prokurori i Përgjithshëm dhe </w:t>
      </w:r>
      <w:r w:rsidR="00204F93" w:rsidRPr="00914A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Ministri i Brendshëm </w:t>
      </w:r>
      <w:r w:rsidR="004A769B" w:rsidRPr="00914A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arrijnë marrëveshjen si </w:t>
      </w:r>
      <w:r w:rsidRPr="00914A7A">
        <w:rPr>
          <w:rFonts w:ascii="Times New Roman" w:hAnsi="Times New Roman" w:cs="Times New Roman"/>
          <w:b/>
          <w:sz w:val="24"/>
          <w:szCs w:val="24"/>
          <w:lang w:val="sq-AL"/>
        </w:rPr>
        <w:t>më poshtë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0F7DF1" w:rsidRDefault="000F7DF1" w:rsidP="000F7DF1">
      <w:pPr>
        <w:pStyle w:val="NoSpacing"/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413F92" w:rsidRPr="00914A7A" w:rsidRDefault="00413F92" w:rsidP="000F7DF1">
      <w:pPr>
        <w:pStyle w:val="NoSpacing"/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914A7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Objekti</w:t>
      </w:r>
    </w:p>
    <w:p w:rsidR="00413F92" w:rsidRPr="00914A7A" w:rsidRDefault="00413F92" w:rsidP="000F7D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32B05" w:rsidRPr="00914A7A" w:rsidRDefault="00413F92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Objekti i 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veprimtaris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kë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saj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Marrëveshje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hetimi i specializuar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i shpejt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ë,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i gjithansh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m i grupeve kriminale me rrezikshm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ri 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shoq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rore, n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n e krimit 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organizuar 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dhe, 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kryesisht grupet kriminale 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trafikimit 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narkotik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ve, krimeve 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nda me 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ndikim 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shoq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ror, krimit </w:t>
      </w:r>
      <w:r w:rsidR="00F11801" w:rsidRPr="00914A7A">
        <w:rPr>
          <w:rFonts w:ascii="Times New Roman" w:hAnsi="Times New Roman" w:cs="Times New Roman"/>
          <w:sz w:val="24"/>
          <w:szCs w:val="24"/>
          <w:lang w:val="sq-AL"/>
        </w:rPr>
        <w:t>kund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1180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r korrupsionit dhe </w:t>
      </w:r>
      <w:r w:rsidR="009946AA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atij 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financiar, sek</w:t>
      </w:r>
      <w:r w:rsidR="009946AA" w:rsidRPr="00914A7A">
        <w:rPr>
          <w:rFonts w:ascii="Times New Roman" w:hAnsi="Times New Roman" w:cs="Times New Roman"/>
          <w:sz w:val="24"/>
          <w:szCs w:val="24"/>
          <w:lang w:val="sq-AL"/>
        </w:rPr>
        <w:t>ue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strimin e </w:t>
      </w:r>
      <w:proofErr w:type="spellStart"/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as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teve</w:t>
      </w:r>
      <w:proofErr w:type="spellEnd"/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kriminale, me 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fushë veprimi 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brenda territorit t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387FB2" w:rsidRPr="00914A7A">
        <w:rPr>
          <w:rFonts w:ascii="Times New Roman" w:hAnsi="Times New Roman" w:cs="Times New Roman"/>
          <w:sz w:val="24"/>
          <w:szCs w:val="24"/>
          <w:lang w:val="sq-AL"/>
        </w:rPr>
        <w:t>ë.</w:t>
      </w:r>
      <w:r w:rsidR="009D5E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57087" w:rsidRPr="00914A7A" w:rsidRDefault="00357087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C27C41" w:rsidP="000F7DF1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914A7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Detyrimet e Prokur</w:t>
      </w:r>
      <w:r w:rsidR="00F11801" w:rsidRPr="00914A7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orisë </w:t>
      </w:r>
      <w:r w:rsidR="00C844D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s</w:t>
      </w:r>
      <w:r w:rsidRPr="00914A7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 Përgjithshme</w:t>
      </w:r>
    </w:p>
    <w:p w:rsidR="00F11801" w:rsidRPr="00914A7A" w:rsidRDefault="00F11801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17039" w:rsidRPr="00914A7A" w:rsidRDefault="00F11801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1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Prokuroria e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rgjithshme merr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rsip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r q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krijoj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7DF1" w:rsidRPr="000F7DF1">
        <w:rPr>
          <w:rFonts w:ascii="Times New Roman" w:hAnsi="Times New Roman" w:cs="Times New Roman"/>
          <w:i/>
          <w:sz w:val="24"/>
          <w:szCs w:val="24"/>
          <w:lang w:val="sq-AL"/>
        </w:rPr>
        <w:t xml:space="preserve">Seksione 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t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0F7DF1" w:rsidRPr="000F7DF1">
        <w:rPr>
          <w:rFonts w:ascii="Times New Roman" w:hAnsi="Times New Roman" w:cs="Times New Roman"/>
          <w:i/>
          <w:sz w:val="24"/>
          <w:szCs w:val="24"/>
          <w:lang w:val="sq-AL"/>
        </w:rPr>
        <w:t>Posaçme</w:t>
      </w:r>
      <w:r w:rsidR="000F7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832B5" w:rsidRPr="00914A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32B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32B5" w:rsidRPr="00914A7A">
        <w:rPr>
          <w:rFonts w:ascii="Times New Roman" w:hAnsi="Times New Roman" w:cs="Times New Roman"/>
          <w:sz w:val="24"/>
          <w:szCs w:val="24"/>
          <w:lang w:val="sq-AL"/>
        </w:rPr>
        <w:t>rkohshme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Prokurorin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Pr="000F7DF1">
        <w:rPr>
          <w:rFonts w:ascii="Times New Roman" w:hAnsi="Times New Roman" w:cs="Times New Roman"/>
          <w:i/>
          <w:sz w:val="24"/>
          <w:szCs w:val="24"/>
          <w:lang w:val="sq-AL"/>
        </w:rPr>
        <w:t>Krime t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0F7DF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R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nda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, P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okurorit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e Rretheve Gjyq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sore, 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Tiran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, Durr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s, Elbasan, Shkod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r, Vlor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, Fier, Korç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, Gjirokast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>r, Lezh</w:t>
      </w:r>
      <w:r w:rsidR="003351CB" w:rsidRPr="000F7DF1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15849" w:rsidRPr="00914A7A" w:rsidRDefault="00515849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2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Kompetenca l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ndore e k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tyre seksioneve do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jen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krimet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n e krimit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organizuar,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trafikut t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narkotik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ve,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korrupsionit, krimet 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ekonomi,</w:t>
      </w:r>
      <w:r w:rsidR="003E1FB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krimet e kryera nga subjekte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E1FB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posaçme,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sipas </w:t>
      </w:r>
      <w:r w:rsidR="00EB5FE2" w:rsidRPr="00914A7A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EB5FE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3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Marrëveshjes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1/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t q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do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caktohen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24B8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eksion</w:t>
      </w:r>
      <w:r w:rsidR="006624B8">
        <w:rPr>
          <w:rFonts w:ascii="Times New Roman" w:hAnsi="Times New Roman" w:cs="Times New Roman"/>
          <w:sz w:val="24"/>
          <w:szCs w:val="24"/>
          <w:lang w:val="sq-AL"/>
        </w:rPr>
        <w:t>et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24B8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24B8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osaçm</w:t>
      </w:r>
      <w:r w:rsidR="006624B8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do </w:t>
      </w:r>
      <w:r w:rsidR="00FB4D8E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kalojn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paraprakisht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proces verifikimi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pasu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dhe integritetit nga 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>Prokur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ia e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rgjithshme.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Ky proces do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realizohet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bashk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>punim me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HISH</w:t>
      </w:r>
      <w:r w:rsidR="00BE0BF8">
        <w:rPr>
          <w:rFonts w:ascii="Times New Roman" w:hAnsi="Times New Roman" w:cs="Times New Roman"/>
          <w:sz w:val="24"/>
          <w:szCs w:val="24"/>
          <w:lang w:val="sq-AL"/>
        </w:rPr>
        <w:t>-in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>, ILDKPI</w:t>
      </w:r>
      <w:r w:rsidR="00BE0BF8">
        <w:rPr>
          <w:rFonts w:ascii="Times New Roman" w:hAnsi="Times New Roman" w:cs="Times New Roman"/>
          <w:sz w:val="24"/>
          <w:szCs w:val="24"/>
          <w:lang w:val="sq-AL"/>
        </w:rPr>
        <w:t>-në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dhe DSIK</w:t>
      </w:r>
      <w:r w:rsidR="00BE0BF8">
        <w:rPr>
          <w:rFonts w:ascii="Times New Roman" w:hAnsi="Times New Roman" w:cs="Times New Roman"/>
          <w:sz w:val="24"/>
          <w:szCs w:val="24"/>
          <w:lang w:val="sq-AL"/>
        </w:rPr>
        <w:t>-në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Personat 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nuk kalojn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7DF1">
        <w:rPr>
          <w:rFonts w:ascii="Times New Roman" w:hAnsi="Times New Roman" w:cs="Times New Roman"/>
          <w:sz w:val="24"/>
          <w:szCs w:val="24"/>
          <w:lang w:val="sq-AL"/>
        </w:rPr>
        <w:t>proces</w:t>
      </w:r>
      <w:r w:rsidR="00F40E3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nuk do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jenë pjesë 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2CD6" w:rsidRPr="00914A7A">
        <w:rPr>
          <w:rFonts w:ascii="Times New Roman" w:hAnsi="Times New Roman" w:cs="Times New Roman"/>
          <w:sz w:val="24"/>
          <w:szCs w:val="24"/>
          <w:lang w:val="sq-AL"/>
        </w:rPr>
        <w:t>tyre seksioneve.</w:t>
      </w: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Prokuroria e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rgjithshme, brenda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5 (pesë) ditëve nga nënshkrimi i kë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saj Marrëveshje</w:t>
      </w:r>
      <w:r w:rsidR="00820753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cakton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>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F42DC" w:rsidRPr="00914A7A">
        <w:rPr>
          <w:rFonts w:ascii="Times New Roman" w:hAnsi="Times New Roman" w:cs="Times New Roman"/>
          <w:sz w:val="24"/>
          <w:szCs w:val="24"/>
          <w:lang w:val="sq-AL"/>
        </w:rPr>
        <w:t>to seksione ku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42DC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nga 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F42DC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 do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2F42DC" w:rsidRPr="00914A7A">
        <w:rPr>
          <w:rFonts w:ascii="Times New Roman" w:hAnsi="Times New Roman" w:cs="Times New Roman"/>
          <w:sz w:val="24"/>
          <w:szCs w:val="24"/>
          <w:lang w:val="sq-AL"/>
        </w:rPr>
        <w:t>jet</w:t>
      </w:r>
      <w:r w:rsidR="00D4029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F42DC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edhe 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drejtues </w:t>
      </w:r>
      <w:r w:rsidR="002F42DC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="00F40E3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40E35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sionit</w:t>
      </w:r>
      <w:r w:rsidR="002F42DC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Drejtuesit e Prokurorive ku krijohen k</w:t>
      </w:r>
      <w:r w:rsid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to se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>ksione krijojn</w:t>
      </w:r>
      <w:r w:rsidR="00F40E3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mjedise 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veç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anta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 prokuror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t si dhe u sigurojn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rbime mb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shtet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se t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16B8" w:rsidRPr="00914A7A">
        <w:rPr>
          <w:rFonts w:ascii="Times New Roman" w:hAnsi="Times New Roman" w:cs="Times New Roman"/>
          <w:sz w:val="24"/>
          <w:szCs w:val="24"/>
          <w:lang w:val="sq-AL"/>
        </w:rPr>
        <w:t>posaçme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.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raste të veçanta, në varësi të numrit të çështjeve, si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pas kompetenc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s l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ndore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saj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Marrëveshje</w:t>
      </w:r>
      <w:r w:rsidR="00820753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, drejtuesi i prokuroris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mu</w:t>
      </w:r>
      <w:r w:rsidR="00A37EDD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d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përfshijë 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t e seksionit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hetime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ç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shtjeve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tjera</w:t>
      </w:r>
      <w:r w:rsidR="000F7DF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sensitive</w:t>
      </w:r>
      <w:proofErr w:type="spellEnd"/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 publikun.</w:t>
      </w: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F11801" w:rsidP="000F7DF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>1/</w:t>
      </w:r>
      <w:r w:rsidR="002A48EB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>6</w:t>
      </w:r>
      <w:r w:rsidR="002A48EB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50E34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>Kompetencat dhe veprimtaria e k</w:t>
      </w:r>
      <w:r w:rsidR="003351CB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>tyre seksioneve në përbërje të strukturës së Prokurorive të Rretheve Gjyqësor</w:t>
      </w:r>
      <w:r w:rsidR="0082075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>Tiran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>, Durr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>s, Elbasan, Shkod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>r, Vlor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>, Fier, Korç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>, Gjirokast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>r, Lezh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37BE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dhe Prokuroria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7BE9" w:rsidRPr="00914A7A">
        <w:rPr>
          <w:rFonts w:ascii="Times New Roman" w:hAnsi="Times New Roman" w:cs="Times New Roman"/>
          <w:sz w:val="24"/>
          <w:szCs w:val="24"/>
          <w:lang w:val="sq-AL"/>
        </w:rPr>
        <w:t>r Krime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7BE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0E3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nda </w:t>
      </w:r>
      <w:r w:rsidR="00F40E35">
        <w:rPr>
          <w:rFonts w:ascii="Times New Roman" w:hAnsi="Times New Roman" w:cs="Times New Roman"/>
          <w:sz w:val="24"/>
          <w:szCs w:val="24"/>
          <w:lang w:val="sq-AL"/>
        </w:rPr>
        <w:t xml:space="preserve">Tiranë, </w:t>
      </w:r>
      <w:r w:rsidR="00150E34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do të ushtrohen bazuar në aktet ligjore në fuqi dhe në këtë 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Marrëveshje</w:t>
      </w:r>
      <w:r w:rsidR="00150E34" w:rsidRPr="00914A7A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2A48EB" w:rsidRPr="00914A7A" w:rsidRDefault="002A48EB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Pran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Prokuro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is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rgjithshme caktohet nj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prokuror/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48EB" w:rsidRPr="00914A7A">
        <w:rPr>
          <w:rFonts w:ascii="Times New Roman" w:hAnsi="Times New Roman" w:cs="Times New Roman"/>
          <w:i/>
          <w:sz w:val="24"/>
          <w:szCs w:val="24"/>
          <w:lang w:val="sq-AL"/>
        </w:rPr>
        <w:t>K</w:t>
      </w:r>
      <w:r w:rsidR="00CE5251">
        <w:rPr>
          <w:rFonts w:ascii="Times New Roman" w:hAnsi="Times New Roman" w:cs="Times New Roman"/>
          <w:i/>
          <w:sz w:val="24"/>
          <w:szCs w:val="24"/>
          <w:lang w:val="sq-AL"/>
        </w:rPr>
        <w:t>o</w:t>
      </w:r>
      <w:r w:rsidR="002A48EB" w:rsidRPr="00914A7A">
        <w:rPr>
          <w:rFonts w:ascii="Times New Roman" w:hAnsi="Times New Roman" w:cs="Times New Roman"/>
          <w:i/>
          <w:sz w:val="24"/>
          <w:szCs w:val="24"/>
          <w:lang w:val="sq-AL"/>
        </w:rPr>
        <w:t>ordinator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F7DF1">
        <w:rPr>
          <w:rFonts w:ascii="Times New Roman" w:hAnsi="Times New Roman" w:cs="Times New Roman"/>
          <w:sz w:val="24"/>
          <w:szCs w:val="24"/>
          <w:lang w:val="sq-AL"/>
        </w:rPr>
        <w:t xml:space="preserve">rmjet </w:t>
      </w:r>
      <w:r w:rsidR="000F7DF1" w:rsidRPr="000F7DF1">
        <w:rPr>
          <w:rFonts w:ascii="Times New Roman" w:hAnsi="Times New Roman" w:cs="Times New Roman"/>
          <w:i/>
          <w:sz w:val="24"/>
          <w:szCs w:val="24"/>
          <w:lang w:val="sq-AL"/>
        </w:rPr>
        <w:t>S</w:t>
      </w:r>
      <w:r w:rsidR="00515849" w:rsidRPr="000F7DF1">
        <w:rPr>
          <w:rFonts w:ascii="Times New Roman" w:hAnsi="Times New Roman" w:cs="Times New Roman"/>
          <w:i/>
          <w:sz w:val="24"/>
          <w:szCs w:val="24"/>
          <w:lang w:val="sq-AL"/>
        </w:rPr>
        <w:t xml:space="preserve">eksioneve </w:t>
      </w:r>
      <w:r w:rsidR="000F7DF1" w:rsidRPr="000F7DF1">
        <w:rPr>
          <w:rFonts w:ascii="Times New Roman" w:hAnsi="Times New Roman" w:cs="Times New Roman"/>
          <w:i/>
          <w:sz w:val="24"/>
          <w:szCs w:val="24"/>
          <w:lang w:val="sq-AL"/>
        </w:rPr>
        <w:t>të Posaçme</w:t>
      </w:r>
      <w:r w:rsidR="000F7DF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584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515849" w:rsidRPr="00914A7A">
        <w:rPr>
          <w:rFonts w:ascii="Times New Roman" w:hAnsi="Times New Roman" w:cs="Times New Roman"/>
          <w:i/>
          <w:noProof/>
          <w:spacing w:val="-2"/>
          <w:sz w:val="24"/>
          <w:szCs w:val="24"/>
        </w:rPr>
        <w:t xml:space="preserve">Task </w:t>
      </w:r>
      <w:r w:rsidR="00C73B83" w:rsidRPr="00914A7A">
        <w:rPr>
          <w:rFonts w:ascii="Times New Roman" w:hAnsi="Times New Roman" w:cs="Times New Roman"/>
          <w:i/>
          <w:noProof/>
          <w:spacing w:val="-2"/>
          <w:sz w:val="24"/>
          <w:szCs w:val="24"/>
        </w:rPr>
        <w:t xml:space="preserve">- </w:t>
      </w:r>
      <w:r w:rsidR="00515849" w:rsidRPr="00914A7A">
        <w:rPr>
          <w:rFonts w:ascii="Times New Roman" w:hAnsi="Times New Roman" w:cs="Times New Roman"/>
          <w:i/>
          <w:noProof/>
          <w:spacing w:val="-2"/>
          <w:sz w:val="24"/>
          <w:szCs w:val="24"/>
        </w:rPr>
        <w:t>Forcë</w:t>
      </w:r>
      <w:r w:rsidR="005E44CB" w:rsidRPr="00914A7A">
        <w:rPr>
          <w:rFonts w:ascii="Times New Roman" w:hAnsi="Times New Roman" w:cs="Times New Roman"/>
          <w:i/>
          <w:noProof/>
          <w:spacing w:val="-2"/>
          <w:sz w:val="24"/>
          <w:szCs w:val="24"/>
        </w:rPr>
        <w:t>s</w:t>
      </w:r>
      <w:r w:rsidRPr="00914A7A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</w:t>
      </w:r>
      <w:r w:rsidR="00F601F2" w:rsidRPr="000F7DF1">
        <w:rPr>
          <w:rFonts w:ascii="Times New Roman" w:hAnsi="Times New Roman" w:cs="Times New Roman"/>
          <w:i/>
          <w:noProof/>
          <w:spacing w:val="-2"/>
          <w:sz w:val="24"/>
          <w:szCs w:val="24"/>
        </w:rPr>
        <w:t xml:space="preserve">Speciale </w:t>
      </w:r>
      <w:r w:rsidR="005E44CB" w:rsidRPr="000F7DF1">
        <w:rPr>
          <w:rFonts w:ascii="Times New Roman" w:hAnsi="Times New Roman" w:cs="Times New Roman"/>
          <w:i/>
          <w:noProof/>
          <w:spacing w:val="-2"/>
          <w:sz w:val="24"/>
          <w:szCs w:val="24"/>
        </w:rPr>
        <w:t>Q</w:t>
      </w:r>
      <w:r w:rsidR="002A48EB" w:rsidRPr="000F7DF1">
        <w:rPr>
          <w:rFonts w:ascii="Times New Roman" w:hAnsi="Times New Roman" w:cs="Times New Roman"/>
          <w:i/>
          <w:noProof/>
          <w:spacing w:val="-2"/>
          <w:sz w:val="24"/>
          <w:szCs w:val="24"/>
        </w:rPr>
        <w:t>e</w:t>
      </w:r>
      <w:r w:rsidR="005E44CB" w:rsidRPr="000F7DF1">
        <w:rPr>
          <w:rFonts w:ascii="Times New Roman" w:hAnsi="Times New Roman" w:cs="Times New Roman"/>
          <w:i/>
          <w:noProof/>
          <w:spacing w:val="-2"/>
          <w:sz w:val="24"/>
          <w:szCs w:val="24"/>
        </w:rPr>
        <w:t>ndrore</w:t>
      </w:r>
      <w:r w:rsidR="005E44CB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nda dat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s 10 t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ç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o muaji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seksionet 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raportojn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na statistikore 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te </w:t>
      </w:r>
      <w:proofErr w:type="spellStart"/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>Kordinatori</w:t>
      </w:r>
      <w:proofErr w:type="spellEnd"/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Prokurorin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e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C84" w:rsidRPr="00914A7A">
        <w:rPr>
          <w:rFonts w:ascii="Times New Roman" w:hAnsi="Times New Roman" w:cs="Times New Roman"/>
          <w:sz w:val="24"/>
          <w:szCs w:val="24"/>
          <w:lang w:val="sq-AL"/>
        </w:rPr>
        <w:t>rgjithshme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, sipas formularit q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miratohet.</w:t>
      </w:r>
    </w:p>
    <w:p w:rsidR="000F7DF1" w:rsidRPr="00914A7A" w:rsidRDefault="000F7DF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8 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rastet kur nj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nga veprat penale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objekt i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saj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arrëveshje</w:t>
      </w:r>
      <w:r w:rsidR="00CE5251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>kryhet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rrethet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ku nuk mund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ngrihen seksione sipas ligjit, Prokurori i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>m mund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caktoj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>sisht prokuror nga seksionet e prokurorive br</w:t>
      </w:r>
      <w:r w:rsidR="00F72DC0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826DF1" w:rsidRPr="00914A7A">
        <w:rPr>
          <w:rFonts w:ascii="Times New Roman" w:hAnsi="Times New Roman" w:cs="Times New Roman"/>
          <w:sz w:val="24"/>
          <w:szCs w:val="24"/>
          <w:lang w:val="sq-AL"/>
        </w:rPr>
        <w:t>nda qarkut ku ndodh vepra penale</w:t>
      </w:r>
      <w:r w:rsidR="00F72DC0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ose nga qarqet m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72DC0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72DC0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af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72DC0" w:rsidRPr="00914A7A">
        <w:rPr>
          <w:rFonts w:ascii="Times New Roman" w:hAnsi="Times New Roman" w:cs="Times New Roman"/>
          <w:sz w:val="24"/>
          <w:szCs w:val="24"/>
          <w:lang w:val="sq-AL"/>
        </w:rPr>
        <w:t>rta.</w:t>
      </w: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9 </w:t>
      </w:r>
      <w:r w:rsidR="00B13571" w:rsidRPr="00914A7A">
        <w:rPr>
          <w:rFonts w:ascii="Times New Roman" w:hAnsi="Times New Roman" w:cs="Times New Roman"/>
          <w:sz w:val="24"/>
          <w:szCs w:val="24"/>
          <w:lang w:val="sq-AL"/>
        </w:rPr>
        <w:t>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571" w:rsidRPr="00914A7A">
        <w:rPr>
          <w:rFonts w:ascii="Times New Roman" w:hAnsi="Times New Roman" w:cs="Times New Roman"/>
          <w:sz w:val="24"/>
          <w:szCs w:val="24"/>
          <w:lang w:val="sq-AL"/>
        </w:rPr>
        <w:t>t e caktuar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57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13571" w:rsidRPr="00914A7A">
        <w:rPr>
          <w:rFonts w:ascii="Times New Roman" w:hAnsi="Times New Roman" w:cs="Times New Roman"/>
          <w:sz w:val="24"/>
          <w:szCs w:val="24"/>
          <w:lang w:val="sq-AL"/>
        </w:rPr>
        <w:t>to seksione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bashkëpunoj</w:t>
      </w:r>
      <w:r w:rsidR="003E4674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>ë për shkëmbimin e informacionit ndërmjet instituci</w:t>
      </w:r>
      <w:r w:rsidR="00204F9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oneve të përfshira në </w:t>
      </w:r>
      <w:proofErr w:type="spellStart"/>
      <w:r w:rsidR="00204F93"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="00204F93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2A48EB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- </w:t>
      </w:r>
      <w:r w:rsidR="00F31979" w:rsidRPr="00914A7A">
        <w:rPr>
          <w:rFonts w:ascii="Times New Roman" w:hAnsi="Times New Roman" w:cs="Times New Roman"/>
          <w:i/>
          <w:sz w:val="24"/>
          <w:szCs w:val="24"/>
          <w:lang w:val="sq-AL"/>
        </w:rPr>
        <w:t>Forc</w:t>
      </w:r>
      <w:r w:rsidR="002A48EB" w:rsidRPr="00914A7A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për kryerjen e </w:t>
      </w:r>
      <w:r w:rsidR="00F06B7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analizave dhe 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vlerësimeve të përbashkëta </w:t>
      </w:r>
      <w:r w:rsidR="00F06B76" w:rsidRPr="00914A7A">
        <w:rPr>
          <w:rFonts w:ascii="Times New Roman" w:hAnsi="Times New Roman" w:cs="Times New Roman"/>
          <w:sz w:val="24"/>
          <w:szCs w:val="24"/>
          <w:lang w:val="sq-AL"/>
        </w:rPr>
        <w:t>rreth grupeve kriminale</w:t>
      </w:r>
      <w:r w:rsidR="00B13F1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si dhe realizimin e </w:t>
      </w:r>
      <w:r w:rsidR="00F06B76" w:rsidRPr="00914A7A">
        <w:rPr>
          <w:rFonts w:ascii="Times New Roman" w:hAnsi="Times New Roman" w:cs="Times New Roman"/>
          <w:sz w:val="24"/>
          <w:szCs w:val="24"/>
          <w:lang w:val="sq-AL"/>
        </w:rPr>
        <w:t>veprimtaris</w:t>
      </w:r>
      <w:r w:rsidR="004876C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6B7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hetimore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F06B7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në zbatim të detyrimeve specifike, të përcaktuara në </w:t>
      </w:r>
      <w:r w:rsidR="000F7DF1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Planin </w:t>
      </w:r>
      <w:r w:rsidR="00790659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Veprimit kundër Krimit t</w:t>
      </w:r>
      <w:r w:rsidR="002C65D1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1979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Organizuar, Operacioni “Forca e Ligjit”</w:t>
      </w:r>
      <w:r w:rsidR="00CC4E56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11801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64B2B" w:rsidRPr="00914A7A" w:rsidRDefault="00F11801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10 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shmangur nxjerr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en e sekretit hetimor, sh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rbimet e policis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gjyq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sore d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rgojn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materialet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to seksione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në mënyrë të drejtpërdrejtë, 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jasht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rbimit postar. Drejtuesi i seksionit, shorton materialet d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uke caktuar p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rokurori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it i caktohet materiali hetimor</w:t>
      </w:r>
      <w:r w:rsidR="00664B2B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B5FE2" w:rsidRPr="00914A7A" w:rsidRDefault="00EB5FE2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B5FE2" w:rsidRPr="00914A7A" w:rsidRDefault="00EB5FE2" w:rsidP="000F7D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1/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11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Brenda 10 </w:t>
      </w:r>
      <w:r w:rsidR="000F7DF1">
        <w:rPr>
          <w:rFonts w:ascii="Times New Roman" w:hAnsi="Times New Roman" w:cs="Times New Roman"/>
          <w:sz w:val="24"/>
          <w:szCs w:val="24"/>
          <w:lang w:val="sq-AL"/>
        </w:rPr>
        <w:t xml:space="preserve">(dhjetë) 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>ditëve nga nënshkrimi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i kë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saj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arrëveshje</w:t>
      </w:r>
      <w:r w:rsidR="00513E45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="002A48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>Prokuroria e Përgjithshme n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xjerr akte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>dhe udhëzime në zbatim të tij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64B2B" w:rsidRDefault="00664B2B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3F1D" w:rsidRPr="00E65B51" w:rsidRDefault="00F05616" w:rsidP="000F7DF1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E65B5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Detyrimet e Ministrisë</w:t>
      </w:r>
      <w:r w:rsidR="00CF013F" w:rsidRPr="00E65B5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s</w:t>
      </w:r>
      <w:r w:rsidRPr="00E65B5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 Brendshme</w:t>
      </w: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2/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Ministria e Brendshme, nëpërmjet përfaqësuesve të saj në </w:t>
      </w:r>
      <w:proofErr w:type="spellStart"/>
      <w:r w:rsidR="00204F93"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="00204F93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93300F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- </w:t>
      </w:r>
      <w:r w:rsidR="00F05616" w:rsidRPr="00914A7A">
        <w:rPr>
          <w:rFonts w:ascii="Times New Roman" w:hAnsi="Times New Roman" w:cs="Times New Roman"/>
          <w:i/>
          <w:sz w:val="24"/>
          <w:szCs w:val="24"/>
          <w:lang w:val="sq-AL"/>
        </w:rPr>
        <w:t>Forc</w:t>
      </w:r>
      <w:r w:rsidR="002C65D1" w:rsidRPr="00914A7A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226F41" w:rsidRPr="00914A7A">
        <w:rPr>
          <w:rFonts w:ascii="Times New Roman" w:hAnsi="Times New Roman" w:cs="Times New Roman"/>
          <w:i/>
          <w:sz w:val="24"/>
          <w:szCs w:val="24"/>
          <w:lang w:val="sq-AL"/>
        </w:rPr>
        <w:t>n Speciale</w:t>
      </w:r>
      <w:r w:rsidR="00226F4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26F41" w:rsidRPr="000F7DF1">
        <w:rPr>
          <w:rFonts w:ascii="Times New Roman" w:hAnsi="Times New Roman" w:cs="Times New Roman"/>
          <w:i/>
          <w:sz w:val="24"/>
          <w:szCs w:val="24"/>
          <w:lang w:val="sq-AL"/>
        </w:rPr>
        <w:t>Qendrore</w:t>
      </w:r>
      <w:r w:rsidR="00226F4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226F41"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="00226F41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93300F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- </w:t>
      </w:r>
      <w:r w:rsidR="00226F41" w:rsidRPr="00914A7A">
        <w:rPr>
          <w:rFonts w:ascii="Times New Roman" w:hAnsi="Times New Roman" w:cs="Times New Roman"/>
          <w:i/>
          <w:sz w:val="24"/>
          <w:szCs w:val="24"/>
          <w:lang w:val="sq-AL"/>
        </w:rPr>
        <w:t>Forcat</w:t>
      </w:r>
      <w:r w:rsidR="00226F4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26F41" w:rsidRPr="000F7DF1">
        <w:rPr>
          <w:rFonts w:ascii="Times New Roman" w:hAnsi="Times New Roman" w:cs="Times New Roman"/>
          <w:i/>
          <w:sz w:val="24"/>
          <w:szCs w:val="24"/>
          <w:lang w:val="sq-AL"/>
        </w:rPr>
        <w:t>Speciale Rajonale</w:t>
      </w:r>
      <w:r w:rsidR="00166F31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bashkëpunon me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prokuror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t e caktuar n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7DF1" w:rsidRPr="000F7DF1">
        <w:rPr>
          <w:rFonts w:ascii="Times New Roman" w:hAnsi="Times New Roman" w:cs="Times New Roman"/>
          <w:i/>
          <w:sz w:val="24"/>
          <w:szCs w:val="24"/>
          <w:lang w:val="sq-AL"/>
        </w:rPr>
        <w:t xml:space="preserve">Seksionin </w:t>
      </w:r>
      <w:r w:rsidRPr="000F7DF1">
        <w:rPr>
          <w:rFonts w:ascii="Times New Roman" w:hAnsi="Times New Roman" w:cs="Times New Roman"/>
          <w:i/>
          <w:sz w:val="24"/>
          <w:szCs w:val="24"/>
          <w:lang w:val="sq-AL"/>
        </w:rPr>
        <w:t xml:space="preserve">e </w:t>
      </w:r>
      <w:r w:rsidR="000F7DF1" w:rsidRPr="000F7DF1">
        <w:rPr>
          <w:rFonts w:ascii="Times New Roman" w:hAnsi="Times New Roman" w:cs="Times New Roman"/>
          <w:i/>
          <w:sz w:val="24"/>
          <w:szCs w:val="24"/>
          <w:lang w:val="sq-AL"/>
        </w:rPr>
        <w:t>Posaçëm</w:t>
      </w:r>
      <w:r w:rsidR="000F7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për zbatimin e detyrimeve të përcaktuara në </w:t>
      </w:r>
      <w:r w:rsidR="000F7DF1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>Planin e Veprimit p</w:t>
      </w:r>
      <w:r w:rsidR="008A6CEF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>r luft</w:t>
      </w:r>
      <w:r w:rsidR="008A6CEF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 kundër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>rimit t</w:t>
      </w:r>
      <w:r w:rsidR="004876C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rganizuar, </w:t>
      </w:r>
      <w:r w:rsidR="00F05616" w:rsidRPr="000F7DF1">
        <w:rPr>
          <w:rFonts w:ascii="Times New Roman" w:hAnsi="Times New Roman" w:cs="Times New Roman"/>
          <w:sz w:val="24"/>
          <w:szCs w:val="24"/>
          <w:lang w:val="sq-AL"/>
        </w:rPr>
        <w:t>Operacioni “Forca e Ligjit</w:t>
      </w:r>
      <w:r w:rsidR="00F05616" w:rsidRPr="00914A7A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2/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2 </w:t>
      </w:r>
      <w:r w:rsidR="00A1071A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Ministria e Brendshme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siguron </w:t>
      </w:r>
      <w:r w:rsidR="00A1071A" w:rsidRPr="00914A7A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AD0963" w:rsidRPr="00914A7A">
        <w:rPr>
          <w:rFonts w:ascii="Times New Roman" w:hAnsi="Times New Roman" w:cs="Times New Roman"/>
          <w:sz w:val="24"/>
          <w:szCs w:val="24"/>
          <w:lang w:val="sq-AL"/>
        </w:rPr>
        <w:t>jediset e pun</w:t>
      </w:r>
      <w:r w:rsidR="00A1071A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963" w:rsidRPr="00914A7A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A1071A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D096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D4454">
        <w:rPr>
          <w:rFonts w:ascii="Times New Roman" w:hAnsi="Times New Roman" w:cs="Times New Roman"/>
          <w:sz w:val="24"/>
          <w:szCs w:val="24"/>
          <w:lang w:val="sq-AL"/>
        </w:rPr>
        <w:t>mjetet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logjistike </w:t>
      </w:r>
      <w:r w:rsidR="00A1071A" w:rsidRPr="00914A7A">
        <w:rPr>
          <w:rFonts w:ascii="Times New Roman" w:hAnsi="Times New Roman" w:cs="Times New Roman"/>
          <w:sz w:val="24"/>
          <w:szCs w:val="24"/>
          <w:lang w:val="sq-AL"/>
        </w:rPr>
        <w:t>që do të përdore</w:t>
      </w:r>
      <w:r w:rsidR="00A21E4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1071A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në këto mjedise si dhe personelin ndihmës për prokurorët</w:t>
      </w:r>
      <w:r w:rsidR="00937BE9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875EB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75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ato raste kur 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75EB" w:rsidRPr="00914A7A">
        <w:rPr>
          <w:rFonts w:ascii="Times New Roman" w:hAnsi="Times New Roman" w:cs="Times New Roman"/>
          <w:sz w:val="24"/>
          <w:szCs w:val="24"/>
          <w:lang w:val="sq-AL"/>
        </w:rPr>
        <w:t>t do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75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kryejn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875EB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veprime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mjediset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proofErr w:type="spellStart"/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="0093300F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93300F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Forc</w:t>
      </w:r>
      <w:r w:rsidR="00392AD0" w:rsidRPr="00914A7A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s</w:t>
      </w:r>
      <w:r w:rsidR="00F601F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601F2" w:rsidRPr="000F7DF1">
        <w:rPr>
          <w:rFonts w:ascii="Times New Roman" w:hAnsi="Times New Roman" w:cs="Times New Roman"/>
          <w:i/>
          <w:sz w:val="24"/>
          <w:szCs w:val="24"/>
          <w:lang w:val="sq-AL"/>
        </w:rPr>
        <w:t>Speciale Qendrore</w:t>
      </w:r>
      <w:r w:rsidR="00F601F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="0093300F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-</w:t>
      </w:r>
      <w:r w:rsidR="0093300F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Forc</w:t>
      </w:r>
      <w:r w:rsidR="00392AD0" w:rsidRPr="00914A7A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s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F7DF1">
        <w:rPr>
          <w:rFonts w:ascii="Times New Roman" w:hAnsi="Times New Roman" w:cs="Times New Roman"/>
          <w:i/>
          <w:sz w:val="24"/>
          <w:szCs w:val="24"/>
          <w:lang w:val="sq-AL"/>
        </w:rPr>
        <w:t>Speciale Rajonale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2/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Ministria e Brendshme 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siguron 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auto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mjete n</w:t>
      </w:r>
      <w:r w:rsidR="0093300F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mbështetje të 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funksion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hetimit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ç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shtjeve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në një kohë sa më të shpejtë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2/4. 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Ministria e Brendshme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siguron 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mbrojtje dhe siguri fizike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r prokuror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t dhe familjet e tyre kur u vihet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rrezik jeta, sh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4FC5" w:rsidRPr="00914A7A">
        <w:rPr>
          <w:rFonts w:ascii="Times New Roman" w:hAnsi="Times New Roman" w:cs="Times New Roman"/>
          <w:sz w:val="24"/>
          <w:szCs w:val="24"/>
          <w:lang w:val="sq-AL"/>
        </w:rPr>
        <w:t>ndeti apo pasuria e tyre dhe e familjes.</w:t>
      </w: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2/5. 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Ministria e Brendshme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siguron 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struktura e </w:t>
      </w:r>
      <w:proofErr w:type="spellStart"/>
      <w:r w:rsidR="00BA032D"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="00BA032D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- Forcës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ka ndjekur nj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hetim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veçant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, vazhdon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e grupit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hetimit deri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rfundim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gjykimit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ç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shtjes,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funksion të 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siguri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së 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fizike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prok</w:t>
      </w:r>
      <w:r w:rsidR="002E0E07" w:rsidRPr="00914A7A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rorit n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seancat gjyq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sore dhe jasht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saj, duke ndihmuar prokurorin me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mjete 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logjistik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gjat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gjykimit t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ç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0A13" w:rsidRPr="00914A7A">
        <w:rPr>
          <w:rFonts w:ascii="Times New Roman" w:hAnsi="Times New Roman" w:cs="Times New Roman"/>
          <w:sz w:val="24"/>
          <w:szCs w:val="24"/>
          <w:lang w:val="sq-AL"/>
        </w:rPr>
        <w:t>shtjes.</w:t>
      </w:r>
    </w:p>
    <w:p w:rsidR="00B13F1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F75FD" w:rsidRPr="00914A7A" w:rsidRDefault="00B13F1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2/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6 </w:t>
      </w:r>
      <w:r w:rsidR="00EF75F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Punonjësit e </w:t>
      </w:r>
      <w:proofErr w:type="spellStart"/>
      <w:r w:rsidR="00EF75FD"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-</w:t>
      </w:r>
      <w:r w:rsidR="00EF75FD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Forcës</w:t>
      </w:r>
      <w:r w:rsidR="00EF75F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75FD" w:rsidRPr="000F7DF1">
        <w:rPr>
          <w:rFonts w:ascii="Times New Roman" w:hAnsi="Times New Roman" w:cs="Times New Roman"/>
          <w:i/>
          <w:sz w:val="24"/>
          <w:szCs w:val="24"/>
          <w:lang w:val="sq-AL"/>
        </w:rPr>
        <w:t>Speciale Qendrore</w:t>
      </w:r>
      <w:r w:rsidR="00EF75F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proofErr w:type="spellStart"/>
      <w:r w:rsidR="00EF75FD"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-</w:t>
      </w:r>
      <w:r w:rsidR="00EF75FD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Forcave</w:t>
      </w:r>
      <w:r w:rsidR="00EF75F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75FD" w:rsidRPr="000F7DF1">
        <w:rPr>
          <w:rFonts w:ascii="Times New Roman" w:hAnsi="Times New Roman" w:cs="Times New Roman"/>
          <w:i/>
          <w:sz w:val="24"/>
          <w:szCs w:val="24"/>
          <w:lang w:val="sq-AL"/>
        </w:rPr>
        <w:t>Speciale Rajonale</w:t>
      </w:r>
      <w:r w:rsidR="00EF75F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me </w:t>
      </w:r>
      <w:r w:rsidR="00456B8D">
        <w:rPr>
          <w:rFonts w:ascii="Times New Roman" w:hAnsi="Times New Roman" w:cs="Times New Roman"/>
          <w:sz w:val="24"/>
          <w:szCs w:val="24"/>
          <w:lang w:val="sq-AL"/>
        </w:rPr>
        <w:t>atributet</w:t>
      </w:r>
      <w:r w:rsidR="007E1A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75FD" w:rsidRPr="00914A7A">
        <w:rPr>
          <w:rFonts w:ascii="Times New Roman" w:hAnsi="Times New Roman" w:cs="Times New Roman"/>
          <w:sz w:val="24"/>
          <w:szCs w:val="24"/>
          <w:lang w:val="sq-AL"/>
        </w:rPr>
        <w:t>e policisë gjyqësore, janë të detyruar të informojnë për çdo veprim të ndërmarrë prokurorin e ngarkuar me drejtimin e hetimeve të çështjes konkrete, në zbatim të dispozitave ligjore në fuqi.</w:t>
      </w:r>
    </w:p>
    <w:p w:rsidR="003E4674" w:rsidRDefault="003E4674" w:rsidP="000F7D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E4674" w:rsidRPr="00914A7A" w:rsidRDefault="00F04FE4" w:rsidP="000F7DF1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914A7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Vepra</w:t>
      </w:r>
      <w:r w:rsidR="000F7DF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</w:t>
      </w:r>
      <w:r w:rsidRPr="00914A7A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penale</w:t>
      </w:r>
    </w:p>
    <w:p w:rsidR="005B1A92" w:rsidRPr="00914A7A" w:rsidRDefault="005B1A92" w:rsidP="000F7D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C649D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Veprat penale që referohen në </w:t>
      </w:r>
      <w:r w:rsidR="000F7DF1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Seksionet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0F7DF1" w:rsidRPr="00914A7A">
        <w:rPr>
          <w:rFonts w:ascii="Times New Roman" w:hAnsi="Times New Roman" w:cs="Times New Roman"/>
          <w:sz w:val="24"/>
          <w:szCs w:val="24"/>
          <w:lang w:val="sq-AL"/>
        </w:rPr>
        <w:t>Posaçme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sipas kompetencës lëndore nga </w:t>
      </w:r>
      <w:proofErr w:type="spellStart"/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="00BA032D"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-Forca</w:t>
      </w:r>
      <w:r w:rsidR="00F601F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601F2" w:rsidRPr="000F7DF1">
        <w:rPr>
          <w:rFonts w:ascii="Times New Roman" w:hAnsi="Times New Roman" w:cs="Times New Roman"/>
          <w:i/>
          <w:sz w:val="24"/>
          <w:szCs w:val="24"/>
          <w:lang w:val="sq-AL"/>
        </w:rPr>
        <w:t>Speciale Qendrore</w:t>
      </w:r>
      <w:r w:rsidR="00F601F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>Task</w:t>
      </w:r>
      <w:proofErr w:type="spellEnd"/>
      <w:r w:rsidRPr="00914A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- Forca</w:t>
      </w:r>
      <w:r w:rsidR="00F601F2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601F2" w:rsidRPr="000F7DF1">
        <w:rPr>
          <w:rFonts w:ascii="Times New Roman" w:hAnsi="Times New Roman" w:cs="Times New Roman"/>
          <w:i/>
          <w:sz w:val="24"/>
          <w:szCs w:val="24"/>
          <w:lang w:val="sq-AL"/>
        </w:rPr>
        <w:t>Speciale Rajonale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AD4454" w:rsidRPr="003F4EBD">
        <w:rPr>
          <w:rFonts w:ascii="Times New Roman" w:hAnsi="Times New Roman" w:cs="Times New Roman"/>
          <w:b/>
          <w:i/>
          <w:sz w:val="18"/>
          <w:szCs w:val="18"/>
          <w:lang w:val="sq-AL"/>
        </w:rPr>
        <w:t xml:space="preserve">Referenca </w:t>
      </w:r>
      <w:r w:rsidR="00AD4454" w:rsidRPr="003F4EBD">
        <w:rPr>
          <w:rFonts w:ascii="Times New Roman" w:hAnsi="Times New Roman" w:cs="Times New Roman"/>
          <w:i/>
          <w:sz w:val="18"/>
          <w:szCs w:val="18"/>
          <w:lang w:val="sq-AL"/>
        </w:rPr>
        <w:t>(</w:t>
      </w:r>
      <w:r w:rsidRPr="003F4EBD">
        <w:rPr>
          <w:rFonts w:ascii="Times New Roman" w:hAnsi="Times New Roman" w:cs="Times New Roman"/>
          <w:i/>
          <w:sz w:val="18"/>
          <w:szCs w:val="18"/>
          <w:lang w:val="sq-AL"/>
        </w:rPr>
        <w:t>Dispozita kalimtare e Ligjit nr 35/</w:t>
      </w:r>
      <w:r w:rsidR="00BA032D" w:rsidRPr="003F4EBD">
        <w:rPr>
          <w:rFonts w:ascii="Times New Roman" w:hAnsi="Times New Roman" w:cs="Times New Roman"/>
          <w:i/>
          <w:sz w:val="18"/>
          <w:szCs w:val="18"/>
          <w:lang w:val="sq-AL"/>
        </w:rPr>
        <w:t xml:space="preserve"> </w:t>
      </w:r>
      <w:r w:rsidRPr="003F4EBD">
        <w:rPr>
          <w:rFonts w:ascii="Times New Roman" w:hAnsi="Times New Roman" w:cs="Times New Roman"/>
          <w:i/>
          <w:sz w:val="18"/>
          <w:szCs w:val="18"/>
          <w:lang w:val="sq-AL"/>
        </w:rPr>
        <w:t>2017)</w:t>
      </w:r>
      <w:r w:rsidR="003F4EBD">
        <w:rPr>
          <w:rFonts w:ascii="Times New Roman" w:hAnsi="Times New Roman" w:cs="Times New Roman"/>
          <w:i/>
          <w:sz w:val="18"/>
          <w:szCs w:val="18"/>
          <w:lang w:val="sq-AL"/>
        </w:rPr>
        <w:t>.</w:t>
      </w:r>
    </w:p>
    <w:p w:rsidR="009C649D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C649D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3/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Vepra penale n</w:t>
      </w:r>
      <w:r w:rsidR="00AD445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n e l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ve narkotike dhe pastrimi i produkteve t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vepr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s penale ose veprimtaris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kriminale.</w:t>
      </w:r>
    </w:p>
    <w:p w:rsidR="009C649D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3/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2 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Vepra penale kund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r korrupsionit.</w:t>
      </w:r>
    </w:p>
    <w:p w:rsidR="009C649D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3/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Vepra penale 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kundër pasurisë dhe në sferën e ekonomis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shoq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>rive tregtare.</w:t>
      </w:r>
    </w:p>
    <w:p w:rsidR="009C649D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3/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350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Vepra penale 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në fushën e tatim 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taksave.</w:t>
      </w:r>
    </w:p>
    <w:p w:rsidR="00AE121C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3/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Sekuestrimi dhe konfiskimi i </w:t>
      </w:r>
      <w:proofErr w:type="spellStart"/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aseteve</w:t>
      </w:r>
      <w:proofErr w:type="spellEnd"/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kriminale, sipas ligjit</w:t>
      </w:r>
      <w:r w:rsidR="00AE121C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Nr. 10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121C" w:rsidRPr="00914A7A">
        <w:rPr>
          <w:rFonts w:ascii="Times New Roman" w:hAnsi="Times New Roman" w:cs="Times New Roman"/>
          <w:sz w:val="24"/>
          <w:szCs w:val="24"/>
          <w:lang w:val="sq-AL"/>
        </w:rPr>
        <w:t>192, dat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121C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03.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121C" w:rsidRPr="00914A7A">
        <w:rPr>
          <w:rFonts w:ascii="Times New Roman" w:hAnsi="Times New Roman" w:cs="Times New Roman"/>
          <w:sz w:val="24"/>
          <w:szCs w:val="24"/>
          <w:lang w:val="sq-AL"/>
        </w:rPr>
        <w:t>12.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E121C" w:rsidRPr="00914A7A">
        <w:rPr>
          <w:rFonts w:ascii="Times New Roman" w:hAnsi="Times New Roman" w:cs="Times New Roman"/>
          <w:sz w:val="24"/>
          <w:szCs w:val="24"/>
          <w:lang w:val="sq-AL"/>
        </w:rPr>
        <w:t>2009</w:t>
      </w:r>
      <w:r w:rsidR="00AE121C" w:rsidRPr="00914A7A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goditjen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krimit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organizuar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trafikimit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korrupisonit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pasurisë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>”</w:t>
      </w:r>
      <w:r w:rsidR="00BA032D" w:rsidRPr="00914A7A">
        <w:rPr>
          <w:rFonts w:ascii="Times New Roman" w:hAnsi="Times New Roman" w:cs="Times New Roman"/>
          <w:sz w:val="24"/>
          <w:szCs w:val="24"/>
        </w:rPr>
        <w:t>,</w:t>
      </w:r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1C" w:rsidRPr="00914A7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AE121C" w:rsidRPr="00914A7A">
        <w:rPr>
          <w:rFonts w:ascii="Times New Roman" w:hAnsi="Times New Roman" w:cs="Times New Roman"/>
          <w:sz w:val="24"/>
          <w:szCs w:val="24"/>
        </w:rPr>
        <w:t>,</w:t>
      </w:r>
    </w:p>
    <w:p w:rsidR="00623503" w:rsidRPr="00914A7A" w:rsidRDefault="009C649D" w:rsidP="000F7DF1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3/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2AD0" w:rsidRPr="00914A7A">
        <w:rPr>
          <w:rFonts w:ascii="Times New Roman" w:hAnsi="Times New Roman" w:cs="Times New Roman"/>
          <w:sz w:val="24"/>
          <w:szCs w:val="24"/>
          <w:lang w:val="sq-AL"/>
        </w:rPr>
        <w:t>Vepra penale të kryera nga subjekte të posaçme</w:t>
      </w:r>
      <w:r w:rsidR="00E42E4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rcaktuar n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nenin 135/</w:t>
      </w:r>
      <w:r w:rsidR="00BA032D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2 t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Kushtetut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92AD0" w:rsidRDefault="00392AD0" w:rsidP="000F7DF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F20B5" w:rsidRPr="00E65B51" w:rsidRDefault="00FF20B5" w:rsidP="000F7DF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E65B5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Dispozita të fundit</w:t>
      </w:r>
    </w:p>
    <w:p w:rsidR="00FF20B5" w:rsidRPr="00914A7A" w:rsidRDefault="00FF20B5" w:rsidP="000F7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F20B5" w:rsidRPr="00914A7A" w:rsidRDefault="00FF20B5" w:rsidP="000F7D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Secila palë merr përsipër të bashkëpunojë me qëllim zbatimin e detyrimeve që rrjedhin nga </w:t>
      </w:r>
      <w:r w:rsidR="009C649D" w:rsidRPr="00914A7A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jo Marrëveshje</w:t>
      </w:r>
      <w:r w:rsidR="009C649D" w:rsidRPr="00914A7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E3DDD" w:rsidRPr="00914A7A" w:rsidRDefault="00FF20B5" w:rsidP="000F7D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Për çdo rast të mospërmbushjes së detyrimeve të </w:t>
      </w:r>
      <w:r w:rsidR="009C649D" w:rsidRPr="00914A7A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6108AE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saj Marrëveshje</w:t>
      </w:r>
      <w:r w:rsidR="00680AC4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, përfaqësuesit e secilës 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914A7A">
        <w:rPr>
          <w:rFonts w:ascii="Times New Roman" w:hAnsi="Times New Roman" w:cs="Times New Roman"/>
          <w:sz w:val="24"/>
          <w:szCs w:val="24"/>
          <w:lang w:val="sq-AL"/>
        </w:rPr>
        <w:t>alë informojnë titullarin e institucionit.</w:t>
      </w:r>
    </w:p>
    <w:p w:rsidR="00CE3DDD" w:rsidRPr="00914A7A" w:rsidRDefault="009C649D" w:rsidP="000F7D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arrëveshja </w:t>
      </w:r>
      <w:r w:rsidR="00FF20B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hyn në fuqi në datën e nënshkrimit të saj dhe do të zbatohet deri në </w:t>
      </w:r>
      <w:r w:rsidR="002E0E07" w:rsidRPr="00914A7A">
        <w:rPr>
          <w:rFonts w:ascii="Times New Roman" w:hAnsi="Times New Roman" w:cs="Times New Roman"/>
          <w:sz w:val="24"/>
          <w:szCs w:val="24"/>
          <w:lang w:val="sq-AL"/>
        </w:rPr>
        <w:t>krijimin dhe funksionimin e Prokuroris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0E07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3351CB" w:rsidRPr="00914A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0E07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Posaçme.</w:t>
      </w:r>
    </w:p>
    <w:p w:rsidR="00FF20B5" w:rsidRDefault="009C649D" w:rsidP="000F7D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arrëveshja </w:t>
      </w:r>
      <w:r w:rsidR="00FF20B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hartohet në 2 (dy) kopje, nga 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1 (</w:t>
      </w:r>
      <w:r w:rsidR="00FF20B5" w:rsidRPr="00914A7A">
        <w:rPr>
          <w:rFonts w:ascii="Times New Roman" w:hAnsi="Times New Roman" w:cs="Times New Roman"/>
          <w:sz w:val="24"/>
          <w:szCs w:val="24"/>
          <w:lang w:val="sq-AL"/>
        </w:rPr>
        <w:t>një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FF20B5" w:rsidRPr="00914A7A">
        <w:rPr>
          <w:rFonts w:ascii="Times New Roman" w:hAnsi="Times New Roman" w:cs="Times New Roman"/>
          <w:sz w:val="24"/>
          <w:szCs w:val="24"/>
          <w:lang w:val="sq-AL"/>
        </w:rPr>
        <w:t xml:space="preserve"> kopje për secilën </w:t>
      </w:r>
      <w:r w:rsidR="00C73B83" w:rsidRPr="00914A7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FF20B5" w:rsidRPr="00914A7A">
        <w:rPr>
          <w:rFonts w:ascii="Times New Roman" w:hAnsi="Times New Roman" w:cs="Times New Roman"/>
          <w:sz w:val="24"/>
          <w:szCs w:val="24"/>
          <w:lang w:val="sq-AL"/>
        </w:rPr>
        <w:t>alë.</w:t>
      </w:r>
    </w:p>
    <w:p w:rsidR="00800D63" w:rsidRDefault="00800D63" w:rsidP="00800D6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0D63" w:rsidRDefault="00800D63" w:rsidP="00800D63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</w:p>
    <w:p w:rsidR="00800D63" w:rsidRDefault="00800D63" w:rsidP="00800D63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C0496" w:rsidRDefault="009C0496" w:rsidP="00800D63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00D63" w:rsidRDefault="009C0496" w:rsidP="00800D63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14A7A">
        <w:rPr>
          <w:rFonts w:ascii="Times New Roman" w:hAnsi="Times New Roman" w:cs="Times New Roman"/>
          <w:b/>
          <w:sz w:val="24"/>
          <w:szCs w:val="24"/>
          <w:lang w:val="sq-AL"/>
        </w:rPr>
        <w:t>PROKURORI I PËRGJITHSHËM</w:t>
      </w:r>
      <w:r w:rsidR="00800D6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</w:t>
      </w:r>
      <w:r w:rsidR="00800D63" w:rsidRPr="00914A7A">
        <w:rPr>
          <w:rFonts w:ascii="Times New Roman" w:hAnsi="Times New Roman" w:cs="Times New Roman"/>
          <w:b/>
          <w:sz w:val="24"/>
          <w:szCs w:val="24"/>
          <w:lang w:val="sq-AL"/>
        </w:rPr>
        <w:t>MINISTR</w:t>
      </w:r>
      <w:r w:rsidR="00800D63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800D63" w:rsidRPr="00914A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BRENDSHËM</w:t>
      </w:r>
      <w:r w:rsidR="00800D63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00D63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00D63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</w:t>
      </w:r>
    </w:p>
    <w:p w:rsidR="00AE121C" w:rsidRPr="00914A7A" w:rsidRDefault="009C0496" w:rsidP="00800D63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</w:t>
      </w:r>
      <w:r w:rsidR="00800D63" w:rsidRPr="00914A7A">
        <w:rPr>
          <w:rFonts w:ascii="Times New Roman" w:hAnsi="Times New Roman" w:cs="Times New Roman"/>
          <w:b/>
          <w:sz w:val="24"/>
          <w:szCs w:val="24"/>
          <w:lang w:val="sq-AL"/>
        </w:rPr>
        <w:t>Arta MARKU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                                           </w:t>
      </w:r>
      <w:r w:rsidRPr="00914A7A">
        <w:rPr>
          <w:rFonts w:ascii="Times New Roman" w:hAnsi="Times New Roman" w:cs="Times New Roman"/>
          <w:b/>
          <w:sz w:val="24"/>
          <w:szCs w:val="24"/>
          <w:lang w:val="sq-AL"/>
        </w:rPr>
        <w:t>Fatmir XHAFAJ</w:t>
      </w:r>
      <w:bookmarkEnd w:id="0"/>
    </w:p>
    <w:sectPr w:rsidR="00AE121C" w:rsidRPr="00914A7A" w:rsidSect="00F40E35">
      <w:footerReference w:type="default" r:id="rId8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7F6" w:rsidRDefault="003147F6" w:rsidP="004876C0">
      <w:pPr>
        <w:spacing w:after="0" w:line="240" w:lineRule="auto"/>
      </w:pPr>
      <w:r>
        <w:separator/>
      </w:r>
    </w:p>
  </w:endnote>
  <w:endnote w:type="continuationSeparator" w:id="0">
    <w:p w:rsidR="003147F6" w:rsidRDefault="003147F6" w:rsidP="0048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3909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3503" w:rsidRDefault="00F663F9">
        <w:pPr>
          <w:pStyle w:val="Footer"/>
          <w:jc w:val="right"/>
        </w:pPr>
        <w:r>
          <w:fldChar w:fldCharType="begin"/>
        </w:r>
        <w:r w:rsidR="001C6681">
          <w:instrText xml:space="preserve"> PAGE   \* MERGEFORMAT </w:instrText>
        </w:r>
        <w:r>
          <w:fldChar w:fldCharType="separate"/>
        </w:r>
        <w:r w:rsidR="00C551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3503" w:rsidRDefault="006235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7F6" w:rsidRDefault="003147F6" w:rsidP="004876C0">
      <w:pPr>
        <w:spacing w:after="0" w:line="240" w:lineRule="auto"/>
      </w:pPr>
      <w:r>
        <w:separator/>
      </w:r>
    </w:p>
  </w:footnote>
  <w:footnote w:type="continuationSeparator" w:id="0">
    <w:p w:rsidR="003147F6" w:rsidRDefault="003147F6" w:rsidP="0048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CA9"/>
    <w:multiLevelType w:val="hybridMultilevel"/>
    <w:tmpl w:val="7DA2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95AEA"/>
    <w:multiLevelType w:val="hybridMultilevel"/>
    <w:tmpl w:val="81807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55C4"/>
    <w:multiLevelType w:val="hybridMultilevel"/>
    <w:tmpl w:val="649A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7BE5"/>
    <w:multiLevelType w:val="hybridMultilevel"/>
    <w:tmpl w:val="E3A81F6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B5F18"/>
    <w:multiLevelType w:val="hybridMultilevel"/>
    <w:tmpl w:val="4E90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31EE"/>
    <w:multiLevelType w:val="hybridMultilevel"/>
    <w:tmpl w:val="7E644D96"/>
    <w:lvl w:ilvl="0" w:tplc="D3D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E30BB"/>
    <w:multiLevelType w:val="hybridMultilevel"/>
    <w:tmpl w:val="DE96AC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C3639"/>
    <w:multiLevelType w:val="hybridMultilevel"/>
    <w:tmpl w:val="9C1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97DAE"/>
    <w:multiLevelType w:val="hybridMultilevel"/>
    <w:tmpl w:val="A6C8F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D5B55"/>
    <w:multiLevelType w:val="hybridMultilevel"/>
    <w:tmpl w:val="67F6B1E2"/>
    <w:lvl w:ilvl="0" w:tplc="159A2DA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A3C02"/>
    <w:multiLevelType w:val="hybridMultilevel"/>
    <w:tmpl w:val="B010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3F7"/>
    <w:rsid w:val="0000557C"/>
    <w:rsid w:val="0005203E"/>
    <w:rsid w:val="000713BB"/>
    <w:rsid w:val="00073940"/>
    <w:rsid w:val="0008169A"/>
    <w:rsid w:val="000B0CBF"/>
    <w:rsid w:val="000B510B"/>
    <w:rsid w:val="000C74A8"/>
    <w:rsid w:val="000F7DF1"/>
    <w:rsid w:val="0011050B"/>
    <w:rsid w:val="001250C1"/>
    <w:rsid w:val="00132B05"/>
    <w:rsid w:val="001448A1"/>
    <w:rsid w:val="00146D88"/>
    <w:rsid w:val="00150E34"/>
    <w:rsid w:val="00153A2D"/>
    <w:rsid w:val="00156EB2"/>
    <w:rsid w:val="00166F31"/>
    <w:rsid w:val="001714EB"/>
    <w:rsid w:val="001C008A"/>
    <w:rsid w:val="001C6681"/>
    <w:rsid w:val="001F0190"/>
    <w:rsid w:val="00204F93"/>
    <w:rsid w:val="00226F41"/>
    <w:rsid w:val="002407DC"/>
    <w:rsid w:val="00277280"/>
    <w:rsid w:val="00281BA6"/>
    <w:rsid w:val="00286911"/>
    <w:rsid w:val="00293C84"/>
    <w:rsid w:val="002A48EB"/>
    <w:rsid w:val="002A63F7"/>
    <w:rsid w:val="002A6779"/>
    <w:rsid w:val="002A7787"/>
    <w:rsid w:val="002B688A"/>
    <w:rsid w:val="002C65D1"/>
    <w:rsid w:val="002D4F69"/>
    <w:rsid w:val="002E055E"/>
    <w:rsid w:val="002E0E07"/>
    <w:rsid w:val="002F42DC"/>
    <w:rsid w:val="002F5654"/>
    <w:rsid w:val="0030439E"/>
    <w:rsid w:val="003136EA"/>
    <w:rsid w:val="0031476E"/>
    <w:rsid w:val="003147F6"/>
    <w:rsid w:val="00320366"/>
    <w:rsid w:val="00325851"/>
    <w:rsid w:val="003300C8"/>
    <w:rsid w:val="003351CB"/>
    <w:rsid w:val="00352F90"/>
    <w:rsid w:val="00357087"/>
    <w:rsid w:val="003677B7"/>
    <w:rsid w:val="00374F94"/>
    <w:rsid w:val="003842D3"/>
    <w:rsid w:val="00387FB2"/>
    <w:rsid w:val="00392AD0"/>
    <w:rsid w:val="003D49A3"/>
    <w:rsid w:val="003E1FBD"/>
    <w:rsid w:val="003E4674"/>
    <w:rsid w:val="003F06A0"/>
    <w:rsid w:val="003F4EBD"/>
    <w:rsid w:val="00403D51"/>
    <w:rsid w:val="00413F92"/>
    <w:rsid w:val="00432775"/>
    <w:rsid w:val="00441AAE"/>
    <w:rsid w:val="0044751F"/>
    <w:rsid w:val="00454C1C"/>
    <w:rsid w:val="00456B8D"/>
    <w:rsid w:val="00467E6C"/>
    <w:rsid w:val="00477DF9"/>
    <w:rsid w:val="00486743"/>
    <w:rsid w:val="004875EB"/>
    <w:rsid w:val="004876C0"/>
    <w:rsid w:val="004A769B"/>
    <w:rsid w:val="004B3142"/>
    <w:rsid w:val="004B45C3"/>
    <w:rsid w:val="004B4609"/>
    <w:rsid w:val="004B6A2D"/>
    <w:rsid w:val="004E7E17"/>
    <w:rsid w:val="00513E45"/>
    <w:rsid w:val="00515849"/>
    <w:rsid w:val="00547094"/>
    <w:rsid w:val="00550D27"/>
    <w:rsid w:val="00560043"/>
    <w:rsid w:val="0059281F"/>
    <w:rsid w:val="005A3847"/>
    <w:rsid w:val="005B1A92"/>
    <w:rsid w:val="005C1916"/>
    <w:rsid w:val="005E44CB"/>
    <w:rsid w:val="005E472B"/>
    <w:rsid w:val="005E7FE2"/>
    <w:rsid w:val="006108AE"/>
    <w:rsid w:val="00623503"/>
    <w:rsid w:val="006624B8"/>
    <w:rsid w:val="00664B2B"/>
    <w:rsid w:val="00671B17"/>
    <w:rsid w:val="00680A74"/>
    <w:rsid w:val="00680AC4"/>
    <w:rsid w:val="00681FA0"/>
    <w:rsid w:val="006827CD"/>
    <w:rsid w:val="006A0E83"/>
    <w:rsid w:val="006A2252"/>
    <w:rsid w:val="006A56CF"/>
    <w:rsid w:val="006A5E20"/>
    <w:rsid w:val="006C1E01"/>
    <w:rsid w:val="006E3BB8"/>
    <w:rsid w:val="007006CC"/>
    <w:rsid w:val="0072206C"/>
    <w:rsid w:val="00730E8F"/>
    <w:rsid w:val="00761162"/>
    <w:rsid w:val="00781E48"/>
    <w:rsid w:val="00790659"/>
    <w:rsid w:val="007B060E"/>
    <w:rsid w:val="007D2839"/>
    <w:rsid w:val="007E1AF6"/>
    <w:rsid w:val="00800D63"/>
    <w:rsid w:val="00805BCD"/>
    <w:rsid w:val="00820753"/>
    <w:rsid w:val="00826DF1"/>
    <w:rsid w:val="00854921"/>
    <w:rsid w:val="008662AB"/>
    <w:rsid w:val="008735BE"/>
    <w:rsid w:val="00881EAB"/>
    <w:rsid w:val="008A6CEF"/>
    <w:rsid w:val="008B0B6E"/>
    <w:rsid w:val="008C1B5F"/>
    <w:rsid w:val="008E1571"/>
    <w:rsid w:val="008F06B3"/>
    <w:rsid w:val="008F369C"/>
    <w:rsid w:val="00914A7A"/>
    <w:rsid w:val="00914FC5"/>
    <w:rsid w:val="00917039"/>
    <w:rsid w:val="00920044"/>
    <w:rsid w:val="0093300F"/>
    <w:rsid w:val="00937BE9"/>
    <w:rsid w:val="00941224"/>
    <w:rsid w:val="00941985"/>
    <w:rsid w:val="0097262C"/>
    <w:rsid w:val="009750B4"/>
    <w:rsid w:val="009832B5"/>
    <w:rsid w:val="009946AA"/>
    <w:rsid w:val="00996134"/>
    <w:rsid w:val="009B00A6"/>
    <w:rsid w:val="009C0496"/>
    <w:rsid w:val="009C649D"/>
    <w:rsid w:val="009D5E03"/>
    <w:rsid w:val="009E4494"/>
    <w:rsid w:val="00A016B8"/>
    <w:rsid w:val="00A1071A"/>
    <w:rsid w:val="00A14158"/>
    <w:rsid w:val="00A14454"/>
    <w:rsid w:val="00A21E40"/>
    <w:rsid w:val="00A233B6"/>
    <w:rsid w:val="00A37EDD"/>
    <w:rsid w:val="00A560DB"/>
    <w:rsid w:val="00A60B59"/>
    <w:rsid w:val="00AA1747"/>
    <w:rsid w:val="00AA7719"/>
    <w:rsid w:val="00AB5AB3"/>
    <w:rsid w:val="00AC0BE8"/>
    <w:rsid w:val="00AD0963"/>
    <w:rsid w:val="00AD0A13"/>
    <w:rsid w:val="00AD4454"/>
    <w:rsid w:val="00AE121C"/>
    <w:rsid w:val="00B13571"/>
    <w:rsid w:val="00B13F1D"/>
    <w:rsid w:val="00B65228"/>
    <w:rsid w:val="00B6788B"/>
    <w:rsid w:val="00B77746"/>
    <w:rsid w:val="00B96DB7"/>
    <w:rsid w:val="00BA032D"/>
    <w:rsid w:val="00BA1D1B"/>
    <w:rsid w:val="00BD2DA8"/>
    <w:rsid w:val="00BD4138"/>
    <w:rsid w:val="00BE0BF8"/>
    <w:rsid w:val="00C07ED8"/>
    <w:rsid w:val="00C21DD8"/>
    <w:rsid w:val="00C24B88"/>
    <w:rsid w:val="00C26135"/>
    <w:rsid w:val="00C2763F"/>
    <w:rsid w:val="00C27C41"/>
    <w:rsid w:val="00C4700F"/>
    <w:rsid w:val="00C4742A"/>
    <w:rsid w:val="00C551FE"/>
    <w:rsid w:val="00C621BC"/>
    <w:rsid w:val="00C73B83"/>
    <w:rsid w:val="00C75B3F"/>
    <w:rsid w:val="00C75CC2"/>
    <w:rsid w:val="00C844DF"/>
    <w:rsid w:val="00C91419"/>
    <w:rsid w:val="00C92388"/>
    <w:rsid w:val="00CA3FE4"/>
    <w:rsid w:val="00CC328F"/>
    <w:rsid w:val="00CC45FA"/>
    <w:rsid w:val="00CC4E56"/>
    <w:rsid w:val="00CC589D"/>
    <w:rsid w:val="00CE3DDD"/>
    <w:rsid w:val="00CE5251"/>
    <w:rsid w:val="00CF013F"/>
    <w:rsid w:val="00D03E53"/>
    <w:rsid w:val="00D1049D"/>
    <w:rsid w:val="00D12FCB"/>
    <w:rsid w:val="00D24BE1"/>
    <w:rsid w:val="00D27031"/>
    <w:rsid w:val="00D40290"/>
    <w:rsid w:val="00D829E5"/>
    <w:rsid w:val="00D90818"/>
    <w:rsid w:val="00D92E6D"/>
    <w:rsid w:val="00DA498A"/>
    <w:rsid w:val="00DC4763"/>
    <w:rsid w:val="00DC6902"/>
    <w:rsid w:val="00DE6EF8"/>
    <w:rsid w:val="00E12E91"/>
    <w:rsid w:val="00E15A17"/>
    <w:rsid w:val="00E17AD6"/>
    <w:rsid w:val="00E42E41"/>
    <w:rsid w:val="00E5049C"/>
    <w:rsid w:val="00E5395B"/>
    <w:rsid w:val="00E55C66"/>
    <w:rsid w:val="00E65B51"/>
    <w:rsid w:val="00E85D76"/>
    <w:rsid w:val="00EB5FE2"/>
    <w:rsid w:val="00ED7467"/>
    <w:rsid w:val="00EF28BE"/>
    <w:rsid w:val="00EF3C9E"/>
    <w:rsid w:val="00EF75FD"/>
    <w:rsid w:val="00F02CD6"/>
    <w:rsid w:val="00F032DF"/>
    <w:rsid w:val="00F04FE4"/>
    <w:rsid w:val="00F05616"/>
    <w:rsid w:val="00F06B76"/>
    <w:rsid w:val="00F11801"/>
    <w:rsid w:val="00F20E4C"/>
    <w:rsid w:val="00F31979"/>
    <w:rsid w:val="00F40E35"/>
    <w:rsid w:val="00F601F2"/>
    <w:rsid w:val="00F609B7"/>
    <w:rsid w:val="00F663F9"/>
    <w:rsid w:val="00F72DC0"/>
    <w:rsid w:val="00F83C62"/>
    <w:rsid w:val="00F96C10"/>
    <w:rsid w:val="00FB4D8E"/>
    <w:rsid w:val="00FC1282"/>
    <w:rsid w:val="00FC79A9"/>
    <w:rsid w:val="00FF20B5"/>
    <w:rsid w:val="00FF3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B6E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82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413F92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8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C0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8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C0"/>
    <w:rPr>
      <w:rFonts w:eastAsiaTheme="minorEastAsia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963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963"/>
    <w:rPr>
      <w:rFonts w:eastAsiaTheme="minorEastAsia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B6E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82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413F92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8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C0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8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C0"/>
    <w:rPr>
      <w:rFonts w:eastAsiaTheme="minorEastAsia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963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963"/>
    <w:rPr>
      <w:rFonts w:eastAsiaTheme="minorEastAsia"/>
      <w:b/>
      <w:bCs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Besfort Lamallari</dc:creator>
  <cp:lastModifiedBy>DELL</cp:lastModifiedBy>
  <cp:revision>2</cp:revision>
  <cp:lastPrinted>2018-02-02T08:13:00Z</cp:lastPrinted>
  <dcterms:created xsi:type="dcterms:W3CDTF">2018-02-02T12:06:00Z</dcterms:created>
  <dcterms:modified xsi:type="dcterms:W3CDTF">2018-02-02T12:06:00Z</dcterms:modified>
</cp:coreProperties>
</file>